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Layout w:type="fixed"/>
        <w:tblCellMar>
          <w:top w:w="55" w:type="dxa"/>
          <w:left w:w="55" w:type="dxa"/>
          <w:bottom w:w="55" w:type="dxa"/>
          <w:right w:w="55" w:type="dxa"/>
        </w:tblCellMar>
        <w:tblLook w:val="04A0" w:firstRow="1" w:lastRow="0" w:firstColumn="1" w:lastColumn="0" w:noHBand="0" w:noVBand="1"/>
      </w:tblPr>
      <w:tblGrid>
        <w:gridCol w:w="4592"/>
        <w:gridCol w:w="5158"/>
      </w:tblGrid>
      <w:tr w:rsidR="00103CDF" w:rsidRPr="00461F96" w14:paraId="4E4C344E" w14:textId="77777777">
        <w:tc>
          <w:tcPr>
            <w:tcW w:w="4592" w:type="dxa"/>
            <w:tcBorders>
              <w:top w:val="single" w:sz="2" w:space="0" w:color="000000"/>
              <w:left w:val="single" w:sz="2" w:space="0" w:color="000000"/>
              <w:bottom w:val="single" w:sz="2" w:space="0" w:color="000000"/>
            </w:tcBorders>
          </w:tcPr>
          <w:p w14:paraId="2F939F86" w14:textId="77777777" w:rsidR="00103CDF" w:rsidRPr="00461F96" w:rsidRDefault="00461F96">
            <w:pPr>
              <w:pStyle w:val="af2"/>
              <w:widowControl w:val="0"/>
              <w:spacing w:after="0" w:line="240" w:lineRule="auto"/>
              <w:contextualSpacing/>
              <w:jc w:val="both"/>
              <w:rPr>
                <w:lang w:val="uk-UA"/>
              </w:rPr>
            </w:pP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Найменуванн</w:t>
            </w:r>
            <w:r>
              <w:rPr>
                <w:rStyle w:val="a6"/>
                <w:rFonts w:ascii="Liberation Serif;Times New Roma" w:eastAsia="Times New Roman" w:hAnsi="Liberation Serif;Times New Roma" w:cs="Liberation Serif;Times New Roma"/>
                <w:b/>
                <w:bCs/>
                <w:color w:val="191919"/>
                <w:spacing w:val="11"/>
                <w:sz w:val="28"/>
                <w:szCs w:val="28"/>
                <w:u w:val="none"/>
                <w:lang w:val="uk-UA" w:eastAsia="zh-CN"/>
              </w:rPr>
              <w:t>я суду до якого подається  клопотання</w:t>
            </w: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w:t>
            </w:r>
          </w:p>
        </w:tc>
        <w:tc>
          <w:tcPr>
            <w:tcW w:w="5157" w:type="dxa"/>
            <w:tcBorders>
              <w:top w:val="single" w:sz="2" w:space="0" w:color="000000"/>
              <w:left w:val="single" w:sz="2" w:space="0" w:color="000000"/>
              <w:bottom w:val="single" w:sz="2" w:space="0" w:color="000000"/>
              <w:right w:val="single" w:sz="2" w:space="0" w:color="000000"/>
            </w:tcBorders>
          </w:tcPr>
          <w:p w14:paraId="4D5B9ABD" w14:textId="77777777" w:rsidR="00103CDF" w:rsidRPr="00461F96" w:rsidRDefault="00103CDF">
            <w:pPr>
              <w:pStyle w:val="af2"/>
              <w:widowControl w:val="0"/>
              <w:spacing w:after="0" w:line="240" w:lineRule="auto"/>
              <w:jc w:val="both"/>
              <w:rPr>
                <w:rStyle w:val="a6"/>
                <w:rFonts w:ascii="Liberation Serif;Times New Roma" w:eastAsia="Times New Roman" w:hAnsi="Liberation Serif;Times New Roma" w:cs="Liberation Serif;Times New Roma"/>
                <w:color w:val="191919"/>
                <w:spacing w:val="11"/>
                <w:sz w:val="28"/>
                <w:szCs w:val="28"/>
                <w:u w:val="none"/>
                <w:lang w:val="uk-UA" w:eastAsia="zh-CN"/>
              </w:rPr>
            </w:pPr>
          </w:p>
        </w:tc>
      </w:tr>
      <w:tr w:rsidR="00103CDF" w:rsidRPr="00461F96" w14:paraId="38BCFF1B" w14:textId="77777777">
        <w:tc>
          <w:tcPr>
            <w:tcW w:w="4592" w:type="dxa"/>
            <w:tcBorders>
              <w:left w:val="single" w:sz="2" w:space="0" w:color="000000"/>
              <w:bottom w:val="single" w:sz="2" w:space="0" w:color="000000"/>
            </w:tcBorders>
          </w:tcPr>
          <w:p w14:paraId="5C7F6089" w14:textId="77777777" w:rsidR="00103CDF" w:rsidRPr="00461F96" w:rsidRDefault="00461F96">
            <w:pPr>
              <w:pStyle w:val="af2"/>
              <w:widowControl w:val="0"/>
              <w:spacing w:line="240" w:lineRule="auto"/>
              <w:rPr>
                <w:lang w:val="uk-UA"/>
              </w:rPr>
            </w:pP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Заявник:</w:t>
            </w:r>
          </w:p>
        </w:tc>
        <w:tc>
          <w:tcPr>
            <w:tcW w:w="5157" w:type="dxa"/>
            <w:tcBorders>
              <w:left w:val="single" w:sz="2" w:space="0" w:color="000000"/>
              <w:bottom w:val="single" w:sz="2" w:space="0" w:color="000000"/>
              <w:right w:val="single" w:sz="2" w:space="0" w:color="000000"/>
            </w:tcBorders>
          </w:tcPr>
          <w:p w14:paraId="1DA75D8F" w14:textId="77777777" w:rsidR="00103CDF" w:rsidRPr="00461F96" w:rsidRDefault="00461F96">
            <w:pPr>
              <w:pStyle w:val="af2"/>
              <w:widowControl w:val="0"/>
              <w:spacing w:line="240" w:lineRule="auto"/>
              <w:jc w:val="both"/>
              <w:rPr>
                <w:lang w:val="uk-UA"/>
              </w:rPr>
            </w:pP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Прізвище, ім'я, по батькові,</w:t>
            </w:r>
            <w:r w:rsidRPr="00461F96">
              <w:rPr>
                <w:rStyle w:val="a6"/>
                <w:rFonts w:ascii="Liberation Serif;Times New Roma" w:eastAsia="Times New Roman" w:hAnsi="Liberation Serif;Times New Roma" w:cs="Liberation Serif;Times New Roma"/>
                <w:color w:val="191919"/>
                <w:spacing w:val="11"/>
                <w:sz w:val="28"/>
                <w:szCs w:val="28"/>
                <w:u w:val="none"/>
                <w:lang w:val="uk-UA" w:eastAsia="zh-CN"/>
              </w:rPr>
              <w:t xml:space="preserve"> зареєстроване місце проживання за адресою: (повна адреса реєстрації), РНОКПП (ІПН) (податковий код) або паспортні дані, мобільний телефон, електронна адреса: (в разі наявності)</w:t>
            </w:r>
          </w:p>
        </w:tc>
      </w:tr>
      <w:tr w:rsidR="00103CDF" w:rsidRPr="00461F96" w14:paraId="6B206FB1" w14:textId="77777777">
        <w:tc>
          <w:tcPr>
            <w:tcW w:w="4592" w:type="dxa"/>
            <w:tcBorders>
              <w:left w:val="single" w:sz="2" w:space="0" w:color="000000"/>
              <w:bottom w:val="single" w:sz="2" w:space="0" w:color="000000"/>
            </w:tcBorders>
          </w:tcPr>
          <w:p w14:paraId="45938593" w14:textId="77777777" w:rsidR="00103CDF" w:rsidRPr="00461F96" w:rsidRDefault="00461F96">
            <w:pPr>
              <w:pStyle w:val="af2"/>
              <w:widowControl w:val="0"/>
              <w:spacing w:line="240" w:lineRule="auto"/>
              <w:jc w:val="both"/>
              <w:rPr>
                <w:lang w:val="uk-UA"/>
              </w:rPr>
            </w:pP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Інші учасники процесу (треті особи тощо):</w:t>
            </w:r>
          </w:p>
        </w:tc>
        <w:tc>
          <w:tcPr>
            <w:tcW w:w="5157" w:type="dxa"/>
            <w:tcBorders>
              <w:left w:val="single" w:sz="2" w:space="0" w:color="000000"/>
              <w:bottom w:val="single" w:sz="2" w:space="0" w:color="000000"/>
              <w:right w:val="single" w:sz="2" w:space="0" w:color="000000"/>
            </w:tcBorders>
          </w:tcPr>
          <w:p w14:paraId="47783F47" w14:textId="77777777" w:rsidR="00103CDF" w:rsidRPr="00461F96" w:rsidRDefault="00461F96">
            <w:pPr>
              <w:pStyle w:val="af2"/>
              <w:widowControl w:val="0"/>
              <w:spacing w:line="240" w:lineRule="auto"/>
              <w:jc w:val="both"/>
              <w:rPr>
                <w:lang w:val="uk-UA"/>
              </w:rPr>
            </w:pPr>
            <w:r w:rsidRPr="00461F96">
              <w:rPr>
                <w:rStyle w:val="a6"/>
                <w:rFonts w:ascii="Liberation Serif;Times New Roma" w:eastAsia="Times New Roman" w:hAnsi="Liberation Serif;Times New Roma" w:cs="Liberation Serif;Times New Roma"/>
                <w:b/>
                <w:bCs/>
                <w:color w:val="191919"/>
                <w:spacing w:val="11"/>
                <w:sz w:val="28"/>
                <w:szCs w:val="28"/>
                <w:u w:val="none"/>
                <w:lang w:val="uk-UA" w:eastAsia="zh-CN"/>
              </w:rPr>
              <w:t>Прізвище, ім'я, по батькові,</w:t>
            </w:r>
            <w:r w:rsidRPr="00461F96">
              <w:rPr>
                <w:rStyle w:val="a6"/>
                <w:rFonts w:ascii="Liberation Serif;Times New Roma" w:eastAsia="Times New Roman" w:hAnsi="Liberation Serif;Times New Roma" w:cs="Liberation Serif;Times New Roma"/>
                <w:color w:val="191919"/>
                <w:spacing w:val="11"/>
                <w:sz w:val="28"/>
                <w:szCs w:val="28"/>
                <w:u w:val="none"/>
                <w:lang w:val="uk-UA" w:eastAsia="zh-CN"/>
              </w:rPr>
              <w:t xml:space="preserve"> зареєстроване місце проживання за адресою: (повна адреса реєстрації, якщо відома), РНОКПП (ІПН) (податковий код) або паспортні дані (якщо відомі), мобільний телефон, електронна адреса: (в разі наявності)</w:t>
            </w:r>
          </w:p>
        </w:tc>
      </w:tr>
    </w:tbl>
    <w:p w14:paraId="5669BE87" w14:textId="77777777" w:rsidR="00103CDF" w:rsidRPr="00461F96" w:rsidRDefault="00103CDF">
      <w:pPr>
        <w:spacing w:after="0" w:line="276" w:lineRule="auto"/>
        <w:contextualSpacing/>
        <w:jc w:val="center"/>
        <w:rPr>
          <w:rStyle w:val="a7"/>
          <w:rFonts w:ascii="Liberation Serif;Times New Roma" w:eastAsia="Times New Roman" w:hAnsi="Liberation Serif;Times New Roma" w:cs="Liberation Serif;Times New Roma"/>
          <w:color w:val="191919"/>
          <w:lang w:val="uk-UA"/>
        </w:rPr>
      </w:pPr>
    </w:p>
    <w:p w14:paraId="31BF2A2B" w14:textId="77777777" w:rsidR="00103CDF" w:rsidRPr="00461F96" w:rsidRDefault="00461F96">
      <w:pPr>
        <w:spacing w:after="0" w:line="276" w:lineRule="auto"/>
        <w:contextualSpacing/>
        <w:jc w:val="center"/>
        <w:rPr>
          <w:b/>
          <w:bCs/>
          <w:sz w:val="28"/>
          <w:szCs w:val="28"/>
          <w:lang w:val="uk-UA"/>
        </w:rPr>
      </w:pPr>
      <w:r w:rsidRPr="00461F96">
        <w:rPr>
          <w:rStyle w:val="a7"/>
          <w:rFonts w:ascii="Liberation Serif;Times New Roma" w:eastAsia="Times New Roman" w:hAnsi="Liberation Serif;Times New Roma" w:cs="Liberation Serif;Times New Roma"/>
          <w:color w:val="191919"/>
          <w:sz w:val="28"/>
          <w:szCs w:val="28"/>
          <w:lang w:val="uk-UA"/>
        </w:rPr>
        <w:t>КЛОПОТАННЯ</w:t>
      </w:r>
    </w:p>
    <w:p w14:paraId="0DC18765" w14:textId="77777777" w:rsidR="00103CDF" w:rsidRPr="00461F96" w:rsidRDefault="00461F96">
      <w:pPr>
        <w:spacing w:after="0" w:line="276" w:lineRule="auto"/>
        <w:contextualSpacing/>
        <w:jc w:val="center"/>
        <w:rPr>
          <w:b/>
          <w:bCs/>
          <w:sz w:val="28"/>
          <w:szCs w:val="28"/>
          <w:lang w:val="uk-UA"/>
        </w:rPr>
      </w:pPr>
      <w:r w:rsidRPr="00461F96">
        <w:rPr>
          <w:rStyle w:val="a7"/>
          <w:rFonts w:ascii="Liberation Serif;Times New Roma" w:eastAsia="Times New Roman" w:hAnsi="Liberation Serif;Times New Roma" w:cs="Liberation Serif;Times New Roma"/>
          <w:color w:val="191919"/>
          <w:sz w:val="28"/>
          <w:szCs w:val="28"/>
          <w:lang w:val="uk-UA"/>
        </w:rPr>
        <w:t>про арешт майна</w:t>
      </w:r>
    </w:p>
    <w:p w14:paraId="5473E403" w14:textId="77777777" w:rsidR="00103CDF" w:rsidRPr="00461F96" w:rsidRDefault="00461F96">
      <w:pPr>
        <w:overflowPunct w:val="0"/>
        <w:spacing w:after="0" w:line="276" w:lineRule="auto"/>
        <w:ind w:firstLine="680"/>
        <w:jc w:val="both"/>
        <w:rPr>
          <w:lang w:val="uk-UA"/>
        </w:rPr>
      </w:pPr>
      <w:r w:rsidRPr="00461F96">
        <w:rPr>
          <w:rStyle w:val="a7"/>
          <w:rFonts w:ascii="Liberation Serif" w:eastAsia="Noto Sans CJK SC Regular" w:hAnsi="Liberation Serif" w:cs="Liberation Serif;Times New Roma"/>
          <w:color w:val="191919"/>
          <w:spacing w:val="11"/>
          <w:kern w:val="2"/>
          <w:sz w:val="28"/>
          <w:szCs w:val="28"/>
          <w:highlight w:val="white"/>
          <w:u w:val="single"/>
          <w:shd w:val="clear" w:color="auto" w:fill="FFFFFF"/>
          <w:lang w:val="uk-UA" w:eastAsia="zh-CN" w:bidi="hi-IN"/>
        </w:rPr>
        <w:t>Короткий виклад обставин справи.</w:t>
      </w:r>
      <w:r w:rsidRPr="00461F96">
        <w:rPr>
          <w:rStyle w:val="a7"/>
          <w:rFonts w:ascii="Liberation Serif" w:eastAsia="Noto Sans CJK SC Regular" w:hAnsi="Liberation Serif" w:cs="Liberation Serif;Times New Roma"/>
          <w:b w:val="0"/>
          <w:bCs w:val="0"/>
          <w:color w:val="191919"/>
          <w:spacing w:val="11"/>
          <w:kern w:val="2"/>
          <w:sz w:val="28"/>
          <w:szCs w:val="28"/>
          <w:highlight w:val="white"/>
          <w:shd w:val="clear" w:color="auto" w:fill="FFFFFF"/>
          <w:lang w:val="uk-UA" w:eastAsia="zh-CN" w:bidi="hi-IN"/>
        </w:rPr>
        <w:t xml:space="preserve"> Тут Ви повинні коротко та чітко із посиланням на документи і факти описати, що відбулося, для того, щоб суд зрозумів саму ситуацію та спір, який виник. </w:t>
      </w:r>
    </w:p>
    <w:p w14:paraId="7CFF3B60" w14:textId="77777777" w:rsidR="00103CDF" w:rsidRPr="00461F96" w:rsidRDefault="00461F96">
      <w:pPr>
        <w:overflowPunct w:val="0"/>
        <w:spacing w:after="0" w:line="276" w:lineRule="auto"/>
        <w:ind w:firstLine="680"/>
        <w:jc w:val="both"/>
        <w:rPr>
          <w:lang w:val="uk-UA"/>
        </w:rPr>
      </w:pPr>
      <w:r w:rsidRPr="00461F96">
        <w:rPr>
          <w:rStyle w:val="a7"/>
          <w:rFonts w:ascii="Liberation Serif" w:eastAsia="Noto Sans CJK SC Regular" w:hAnsi="Liberation Serif" w:cs="Liberation Serif;Times New Roma"/>
          <w:b w:val="0"/>
          <w:bCs w:val="0"/>
          <w:i/>
          <w:iCs/>
          <w:color w:val="191919"/>
          <w:spacing w:val="11"/>
          <w:kern w:val="2"/>
          <w:sz w:val="28"/>
          <w:szCs w:val="28"/>
          <w:highlight w:val="white"/>
          <w:shd w:val="clear" w:color="auto" w:fill="FFFFFF"/>
          <w:lang w:val="uk-UA" w:eastAsia="zh-CN" w:bidi="hi-IN"/>
        </w:rPr>
        <w:t>Наприклад.</w:t>
      </w:r>
    </w:p>
    <w:p w14:paraId="6695CE7B" w14:textId="77777777" w:rsidR="00103CDF" w:rsidRPr="00461F96" w:rsidRDefault="00461F96">
      <w:pPr>
        <w:overflowPunct w:val="0"/>
        <w:spacing w:after="0" w:line="276" w:lineRule="auto"/>
        <w:ind w:firstLine="680"/>
        <w:jc w:val="both"/>
        <w:rPr>
          <w:lang w:val="uk-UA"/>
        </w:rPr>
      </w:pPr>
      <w:r w:rsidRPr="00461F96">
        <w:rPr>
          <w:rStyle w:val="a7"/>
          <w:rFonts w:ascii="Liberation Serif" w:eastAsia="Noto Sans CJK SC Regular" w:hAnsi="Liberation Serif" w:cs="FreeSans"/>
          <w:b w:val="0"/>
          <w:bCs w:val="0"/>
          <w:i/>
          <w:iCs/>
          <w:color w:val="191919"/>
          <w:spacing w:val="11"/>
          <w:kern w:val="2"/>
          <w:sz w:val="28"/>
          <w:szCs w:val="28"/>
          <w:highlight w:val="white"/>
          <w:shd w:val="clear" w:color="auto" w:fill="FFFFFF"/>
          <w:lang w:val="uk-UA" w:eastAsia="zh-CN" w:bidi="hi-IN"/>
        </w:rPr>
        <w:t>На момент смерті Квітков Петро Іванович (батько заявника) був власником різних об'єктів рухомого та нерухомого майна, яке було набуте в період шлюбу з Квітковою Дариною Володимирівною (відповідач 1), що належить до об'єктів спільної сумісної власності подружжя. Частина нерухомого майна була оформлена на Квіткова П.І.,  а частина — на Квіткову Д.В.</w:t>
      </w:r>
    </w:p>
    <w:p w14:paraId="1C1F2139" w14:textId="77777777" w:rsidR="00103CDF" w:rsidRPr="00461F96" w:rsidRDefault="00461F96">
      <w:pPr>
        <w:spacing w:after="0" w:line="276" w:lineRule="auto"/>
        <w:ind w:firstLine="680"/>
        <w:jc w:val="both"/>
        <w:rPr>
          <w:lang w:val="uk-UA"/>
        </w:rPr>
      </w:pPr>
      <w:r w:rsidRPr="00461F96">
        <w:rPr>
          <w:rStyle w:val="a7"/>
          <w:rFonts w:ascii="Liberation Serif" w:eastAsia="Noto Sans CJK SC Regular" w:hAnsi="Liberation Serif" w:cs="FreeSans"/>
          <w:b w:val="0"/>
          <w:bCs w:val="0"/>
          <w:i/>
          <w:iCs/>
          <w:color w:val="191919"/>
          <w:spacing w:val="11"/>
          <w:kern w:val="2"/>
          <w:sz w:val="28"/>
          <w:szCs w:val="28"/>
          <w:highlight w:val="white"/>
          <w:shd w:val="clear" w:color="auto" w:fill="FFFFFF"/>
          <w:lang w:val="uk-UA" w:eastAsia="zh-CN" w:bidi="hi-IN"/>
        </w:rPr>
        <w:t>За життя  Квітков Петро Іванович (батько заявника) заповіту не склав, тому спадкування у даному випадку відбувається за законом, у відповідності до Глави 86 ЦК України. Отже</w:t>
      </w:r>
      <w:r w:rsidRPr="00461F96">
        <w:rPr>
          <w:rStyle w:val="a7"/>
          <w:rFonts w:ascii="Liberation Serif" w:eastAsia="Noto Sans CJK SC Regular" w:hAnsi="Liberation Serif" w:cs="Liberation Serif;Times New Roma"/>
          <w:b w:val="0"/>
          <w:bCs w:val="0"/>
          <w:i/>
          <w:iCs/>
          <w:color w:val="191919"/>
          <w:spacing w:val="11"/>
          <w:kern w:val="2"/>
          <w:sz w:val="28"/>
          <w:szCs w:val="28"/>
          <w:highlight w:val="white"/>
          <w:shd w:val="clear" w:color="auto" w:fill="FFFFFF"/>
          <w:lang w:val="uk-UA" w:eastAsia="zh-CN" w:bidi="hi-IN"/>
        </w:rPr>
        <w:t xml:space="preserve">, спадкоємцями першої черги за законом у даному випадку є заявник (дочка померлого) та Квіткова Д.В. (дружина померлого). Інші спадкоємці першої черги за законом відсутні. </w:t>
      </w:r>
    </w:p>
    <w:p w14:paraId="714A47B1"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Предмет позову в цій справі стосується майна, що входить до складу спадкової маси після померлого 00.00.2018 року  Квіткова П.І. (батька заявника) та з приводу якого подано позов. Однак, щодо  спадкового майна, з метою його відчуження/переоформлення, неодноразово вчинялися різного роду правочини та дії  іншими учасниками у справі, що на даний час має наслідком подання даного клопотання.</w:t>
      </w:r>
    </w:p>
    <w:p w14:paraId="49AD5626"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xml:space="preserve">Дане клопотання стосується арешту наступного майна: </w:t>
      </w:r>
    </w:p>
    <w:p w14:paraId="19CECB98"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lastRenderedPageBreak/>
        <w:t>- 1/4 частина житлового будинку, який знаходиться за адресою м. Київ, вул. Старокиївська, буд. 42;</w:t>
      </w:r>
    </w:p>
    <w:p w14:paraId="2D654D41"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квартири за адресою Київська область, м. Вишневе, вул. Святошинська, буд. № 28, кв. 1111;</w:t>
      </w:r>
    </w:p>
    <w:p w14:paraId="22517196"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нежитлового приміщення № 22555 за адресою Київська область, м. Вишневе, вул. Святошинська, буд. № 111254.</w:t>
      </w:r>
    </w:p>
    <w:p w14:paraId="297F3919"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xml:space="preserve">Отже, заявнику, яка є дочкою померлого Квіткова П.І., як спадкоємцю першої черги за законом належить по 1/4 частці у вищевказаному майні. Так, вище перераховане майно, яке водить до складу спадкової маси, 1/4 частка якого мала б успадкуватися за законом позивачем, внаслідок неправомірних дій відповідача-1, відповідача-2, за участю інших осіб та з порушенням вимог закону неодноразово відчужувалася та переоформлювалася між учасниками справи, що свідчить про необхідність застосування заходів забезпечення позову. </w:t>
      </w:r>
    </w:p>
    <w:p w14:paraId="10BE3100" w14:textId="77777777" w:rsidR="00103CDF" w:rsidRPr="00461F96" w:rsidRDefault="00103CDF">
      <w:pPr>
        <w:pStyle w:val="Standard"/>
        <w:overflowPunct w:val="0"/>
        <w:spacing w:line="276" w:lineRule="auto"/>
        <w:ind w:firstLine="737"/>
        <w:jc w:val="both"/>
        <w:rPr>
          <w:rStyle w:val="a7"/>
          <w:color w:val="191919"/>
          <w:spacing w:val="11"/>
          <w:sz w:val="28"/>
          <w:szCs w:val="28"/>
          <w:highlight w:val="white"/>
          <w:lang w:val="uk-UA"/>
        </w:rPr>
      </w:pPr>
    </w:p>
    <w:p w14:paraId="6B6A9A53" w14:textId="77777777" w:rsidR="00103CDF" w:rsidRPr="00461F96" w:rsidRDefault="00461F96">
      <w:pPr>
        <w:pStyle w:val="Standard"/>
        <w:overflowPunct w:val="0"/>
        <w:spacing w:line="276" w:lineRule="auto"/>
        <w:ind w:firstLine="737"/>
        <w:jc w:val="both"/>
        <w:rPr>
          <w:lang w:val="uk-UA"/>
        </w:rPr>
      </w:pPr>
      <w:r w:rsidRPr="00461F96">
        <w:rPr>
          <w:rStyle w:val="a7"/>
          <w:color w:val="191919"/>
          <w:spacing w:val="11"/>
          <w:sz w:val="28"/>
          <w:szCs w:val="28"/>
          <w:highlight w:val="white"/>
          <w:u w:val="single"/>
          <w:shd w:val="clear" w:color="auto" w:fill="FFFFFF"/>
          <w:lang w:val="uk-UA"/>
        </w:rPr>
        <w:t>Ризики щодо відчуження спадкового майна та реальне утруднення чи неможливість виконання рішення суду в майбутньому пояснюється наступним.</w:t>
      </w:r>
    </w:p>
    <w:p w14:paraId="73AF4D5F" w14:textId="77777777" w:rsidR="00103CDF" w:rsidRPr="00461F96" w:rsidRDefault="00461F96">
      <w:pPr>
        <w:pStyle w:val="Standard"/>
        <w:overflowPunct w:val="0"/>
        <w:spacing w:line="276" w:lineRule="auto"/>
        <w:ind w:firstLine="737"/>
        <w:jc w:val="both"/>
        <w:rPr>
          <w:lang w:val="uk-UA"/>
        </w:rPr>
      </w:pPr>
      <w:r w:rsidRPr="00461F96">
        <w:rPr>
          <w:rStyle w:val="a7"/>
          <w:b w:val="0"/>
          <w:bCs w:val="0"/>
          <w:color w:val="191919"/>
          <w:spacing w:val="11"/>
          <w:sz w:val="28"/>
          <w:szCs w:val="28"/>
          <w:highlight w:val="white"/>
          <w:shd w:val="clear" w:color="auto" w:fill="FFFFFF"/>
          <w:lang w:val="uk-UA"/>
        </w:rPr>
        <w:t xml:space="preserve">Тут потрібно описати необхідність накладання арешту на майно. </w:t>
      </w:r>
    </w:p>
    <w:p w14:paraId="27383305"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u w:val="single"/>
          <w:shd w:val="clear" w:color="auto" w:fill="FFFFFF"/>
          <w:lang w:val="uk-UA"/>
        </w:rPr>
        <w:t>Наприклад.</w:t>
      </w:r>
    </w:p>
    <w:p w14:paraId="320A03E2"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У зв'язку з тим, що на даний час вже укладено значну кількість правочинів та вчинено дій щодо спадкового майна, існує судовий спір щодо спадкового майна, яке внаслідок підробки значної частини документів оформлено (переоформлено по декілька разів) на відповідачів та інших учасників у справі (що додатково підтверджує реальні ризики продажу спірного майна під час судового розгляду справи), постала гостра необхідність у забезпеченні позову,</w:t>
      </w:r>
      <w:r w:rsidRPr="00461F96">
        <w:rPr>
          <w:rStyle w:val="a7"/>
          <w:i/>
          <w:iCs/>
          <w:color w:val="191919"/>
          <w:spacing w:val="11"/>
          <w:sz w:val="28"/>
          <w:szCs w:val="28"/>
          <w:highlight w:val="white"/>
          <w:shd w:val="clear" w:color="auto" w:fill="FFFFFF"/>
          <w:lang w:val="uk-UA"/>
        </w:rPr>
        <w:t xml:space="preserve"> шляхом накладення арешту на наступне майно:</w:t>
      </w:r>
    </w:p>
    <w:p w14:paraId="4543D05D"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житлового будинку, який знаходиться за адресою м. Київ, вул. Старокиївська, буд. 42;</w:t>
      </w:r>
    </w:p>
    <w:p w14:paraId="559D62C4"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квартири за адресою Київська область, м. Вишневе, вул. Святошинська, буд. № 28, кв. 1111;</w:t>
      </w:r>
    </w:p>
    <w:p w14:paraId="11E2D106"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нежитлового приміщення № 22555 за адресою Київська область, м. Вишневе, вул. Святошинська, буд. № 111254.</w:t>
      </w:r>
    </w:p>
    <w:p w14:paraId="45798229"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xml:space="preserve">Заявнику, в порядку спадкування за законом, належить 1/4 частина у вище вказаних об'єктах. </w:t>
      </w:r>
      <w:r w:rsidRPr="00461F96">
        <w:rPr>
          <w:rStyle w:val="a7"/>
          <w:b w:val="0"/>
          <w:bCs w:val="0"/>
          <w:color w:val="191919"/>
          <w:spacing w:val="11"/>
          <w:sz w:val="28"/>
          <w:szCs w:val="28"/>
          <w:highlight w:val="white"/>
          <w:shd w:val="clear" w:color="auto" w:fill="FFFFFF"/>
          <w:lang w:val="uk-UA"/>
        </w:rPr>
        <w:t xml:space="preserve"> </w:t>
      </w:r>
      <w:r w:rsidRPr="00461F96">
        <w:rPr>
          <w:rStyle w:val="a7"/>
          <w:b w:val="0"/>
          <w:bCs w:val="0"/>
          <w:i/>
          <w:iCs/>
          <w:color w:val="191919"/>
          <w:spacing w:val="11"/>
          <w:sz w:val="28"/>
          <w:szCs w:val="28"/>
          <w:highlight w:val="white"/>
          <w:shd w:val="clear" w:color="auto" w:fill="FFFFFF"/>
          <w:lang w:val="uk-UA"/>
        </w:rPr>
        <w:t xml:space="preserve">Однак, відчуження та переоформлення даних об'єктів нерухомого майна вже  відбулося Квітковою Д.В. з грубим порушенням вимог закону та з використанням підроблених документів. </w:t>
      </w:r>
    </w:p>
    <w:p w14:paraId="61833476" w14:textId="77777777" w:rsidR="00103CDF" w:rsidRPr="00461F96" w:rsidRDefault="00103CDF">
      <w:pPr>
        <w:pStyle w:val="Standard"/>
        <w:overflowPunct w:val="0"/>
        <w:spacing w:line="276" w:lineRule="auto"/>
        <w:ind w:firstLine="737"/>
        <w:jc w:val="both"/>
        <w:rPr>
          <w:rStyle w:val="a7"/>
          <w:b w:val="0"/>
          <w:bCs w:val="0"/>
          <w:color w:val="191919"/>
          <w:spacing w:val="11"/>
          <w:sz w:val="28"/>
          <w:szCs w:val="28"/>
          <w:highlight w:val="white"/>
          <w:shd w:val="clear" w:color="auto" w:fill="FFFFFF"/>
          <w:lang w:val="uk-UA"/>
        </w:rPr>
      </w:pPr>
    </w:p>
    <w:p w14:paraId="01807D58" w14:textId="77777777" w:rsidR="00103CDF" w:rsidRPr="00461F96" w:rsidRDefault="00103CDF">
      <w:pPr>
        <w:pStyle w:val="Standard"/>
        <w:overflowPunct w:val="0"/>
        <w:spacing w:line="276" w:lineRule="auto"/>
        <w:ind w:firstLine="737"/>
        <w:jc w:val="both"/>
        <w:rPr>
          <w:rStyle w:val="a7"/>
          <w:b w:val="0"/>
          <w:bCs w:val="0"/>
          <w:color w:val="191919"/>
          <w:spacing w:val="11"/>
          <w:sz w:val="28"/>
          <w:szCs w:val="28"/>
          <w:highlight w:val="white"/>
          <w:shd w:val="clear" w:color="auto" w:fill="FFFFFF"/>
          <w:lang w:val="uk-UA"/>
        </w:rPr>
      </w:pPr>
    </w:p>
    <w:p w14:paraId="395550B7"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lastRenderedPageBreak/>
        <w:t xml:space="preserve">Крім того, на даний час існують прямі ризики, щодо продажу квартири за адресою: Київська область, м. Вишневе, вул. Святошинська, буд. № 28, кв. 1111. </w:t>
      </w:r>
      <w:r w:rsidRPr="00461F96">
        <w:rPr>
          <w:rStyle w:val="a7"/>
          <w:rFonts w:ascii="Liberation Serif;Times New Roma" w:hAnsi="Liberation Serif;Times New Roma" w:cs="Liberation Serif;Times New Roma"/>
          <w:b w:val="0"/>
          <w:bCs w:val="0"/>
          <w:i/>
          <w:iCs/>
          <w:color w:val="191919"/>
          <w:spacing w:val="11"/>
          <w:sz w:val="28"/>
          <w:szCs w:val="28"/>
          <w:highlight w:val="white"/>
          <w:shd w:val="clear" w:color="auto" w:fill="FFFFFF"/>
          <w:lang w:val="uk-UA"/>
        </w:rPr>
        <w:t xml:space="preserve">Так, в мережі Інтернет вже було виявлено декілька оголошень про продаж квартири. Копії оголошень </w:t>
      </w:r>
      <w:r w:rsidRPr="00461F96">
        <w:rPr>
          <w:rStyle w:val="a7"/>
          <w:rFonts w:ascii="Liberation Serif;Times New Roma" w:hAnsi="Liberation Serif;Times New Roma"/>
          <w:b w:val="0"/>
          <w:bCs w:val="0"/>
          <w:i/>
          <w:iCs/>
          <w:color w:val="191919"/>
          <w:spacing w:val="11"/>
          <w:sz w:val="28"/>
          <w:szCs w:val="28"/>
          <w:highlight w:val="white"/>
          <w:shd w:val="clear" w:color="auto" w:fill="FFFFFF"/>
          <w:lang w:val="uk-UA"/>
        </w:rPr>
        <w:t>—</w:t>
      </w:r>
      <w:r w:rsidRPr="00461F96">
        <w:rPr>
          <w:rStyle w:val="a7"/>
          <w:rFonts w:ascii="Liberation Serif;Times New Roma" w:hAnsi="Liberation Serif;Times New Roma" w:cs="Liberation Serif;Times New Roma"/>
          <w:b w:val="0"/>
          <w:bCs w:val="0"/>
          <w:i/>
          <w:iCs/>
          <w:color w:val="191919"/>
          <w:spacing w:val="11"/>
          <w:sz w:val="28"/>
          <w:szCs w:val="28"/>
          <w:highlight w:val="white"/>
          <w:shd w:val="clear" w:color="auto" w:fill="FFFFFF"/>
          <w:lang w:val="uk-UA"/>
        </w:rPr>
        <w:t xml:space="preserve"> додаються. </w:t>
      </w:r>
    </w:p>
    <w:p w14:paraId="19065BB8" w14:textId="77777777" w:rsidR="00103CDF" w:rsidRPr="00461F96" w:rsidRDefault="00461F96">
      <w:pPr>
        <w:pStyle w:val="Standard"/>
        <w:overflowPunct w:val="0"/>
        <w:spacing w:line="276" w:lineRule="auto"/>
        <w:ind w:firstLine="737"/>
        <w:jc w:val="both"/>
        <w:rPr>
          <w:lang w:val="uk-UA"/>
        </w:rPr>
      </w:pPr>
      <w:r w:rsidRPr="00461F96">
        <w:rPr>
          <w:rStyle w:val="a7"/>
          <w:rFonts w:ascii="Liberation Serif;Times New Roma" w:hAnsi="Liberation Serif;Times New Roma" w:cs="Liberation Serif;Times New Roma"/>
          <w:b w:val="0"/>
          <w:bCs w:val="0"/>
          <w:i/>
          <w:iCs/>
          <w:color w:val="191919"/>
          <w:spacing w:val="11"/>
          <w:sz w:val="28"/>
          <w:szCs w:val="28"/>
          <w:highlight w:val="white"/>
          <w:shd w:val="clear" w:color="auto" w:fill="FFFFFF"/>
          <w:lang w:val="uk-UA"/>
        </w:rPr>
        <w:t xml:space="preserve">Таким чином, існують ризики відчуження або переоформлення на інших осіб майна, з приводу якого подано позов та, яке входить до спадкової маси. Тому, якщо не вжити заходів забезпечення позову, шляхом накладення арешту на 1/4 частину у спірному нерухомому майні існують ризики продажу усього майна до закінчення розгляду справи та реальна неможливість виконання рішення суду. </w:t>
      </w:r>
    </w:p>
    <w:p w14:paraId="23F95B9E" w14:textId="77777777" w:rsidR="00103CDF" w:rsidRPr="00461F96" w:rsidRDefault="00103CDF">
      <w:pPr>
        <w:pStyle w:val="Standard"/>
        <w:overflowPunct w:val="0"/>
        <w:spacing w:line="276" w:lineRule="auto"/>
        <w:ind w:firstLine="737"/>
        <w:jc w:val="both"/>
        <w:rPr>
          <w:rStyle w:val="a7"/>
          <w:rFonts w:ascii="Liberation Serif;Times New Roma" w:hAnsi="Liberation Serif;Times New Roma" w:cs="Liberation Serif;Times New Roma"/>
          <w:b w:val="0"/>
          <w:bCs w:val="0"/>
          <w:color w:val="191919"/>
          <w:spacing w:val="11"/>
          <w:sz w:val="28"/>
          <w:szCs w:val="28"/>
          <w:highlight w:val="white"/>
          <w:shd w:val="clear" w:color="auto" w:fill="FFFFFF"/>
          <w:lang w:val="uk-UA"/>
        </w:rPr>
      </w:pPr>
    </w:p>
    <w:p w14:paraId="303C7199" w14:textId="77777777" w:rsidR="00103CDF" w:rsidRPr="00461F96" w:rsidRDefault="00461F96">
      <w:pPr>
        <w:pStyle w:val="Standard"/>
        <w:overflowPunct w:val="0"/>
        <w:spacing w:line="276" w:lineRule="auto"/>
        <w:ind w:firstLine="737"/>
        <w:jc w:val="both"/>
        <w:rPr>
          <w:lang w:val="uk-UA"/>
        </w:rPr>
      </w:pPr>
      <w:r w:rsidRPr="00461F96">
        <w:rPr>
          <w:rStyle w:val="a7"/>
          <w:rFonts w:ascii="Liberation Serif;Times New Roma" w:hAnsi="Liberation Serif;Times New Roma" w:cs="Liberation Serif;Times New Roma"/>
          <w:color w:val="191919"/>
          <w:spacing w:val="11"/>
          <w:sz w:val="28"/>
          <w:szCs w:val="28"/>
          <w:highlight w:val="white"/>
          <w:u w:val="single"/>
          <w:shd w:val="clear" w:color="auto" w:fill="FFFFFF"/>
          <w:lang w:val="uk-UA"/>
        </w:rPr>
        <w:t>Нормативно-правове обґрунтування.</w:t>
      </w:r>
      <w:r w:rsidRPr="00461F96">
        <w:rPr>
          <w:rStyle w:val="a7"/>
          <w:rFonts w:ascii="Liberation Serif;Times New Roma" w:hAnsi="Liberation Serif;Times New Roma" w:cs="Liberation Serif;Times New Roma"/>
          <w:b w:val="0"/>
          <w:bCs w:val="0"/>
          <w:color w:val="191919"/>
          <w:spacing w:val="11"/>
          <w:sz w:val="28"/>
          <w:szCs w:val="28"/>
          <w:highlight w:val="white"/>
          <w:shd w:val="clear" w:color="auto" w:fill="FFFFFF"/>
          <w:lang w:val="uk-UA"/>
        </w:rPr>
        <w:t xml:space="preserve"> Тут Ви повинні чітко вказати норми законознавства на, які посилаєтеся у своєму клопотанні, з урахування того який це процес (цивільний, кримінальний, господарський тощо). </w:t>
      </w:r>
    </w:p>
    <w:p w14:paraId="19DED313" w14:textId="77777777" w:rsidR="00103CDF" w:rsidRPr="00461F96" w:rsidRDefault="00461F96">
      <w:pPr>
        <w:pStyle w:val="Standard"/>
        <w:overflowPunct w:val="0"/>
        <w:spacing w:line="276" w:lineRule="auto"/>
        <w:ind w:firstLine="737"/>
        <w:jc w:val="both"/>
        <w:rPr>
          <w:lang w:val="uk-UA"/>
        </w:rPr>
      </w:pPr>
      <w:r w:rsidRPr="00461F96">
        <w:rPr>
          <w:rStyle w:val="a7"/>
          <w:rFonts w:ascii="Liberation Serif;Times New Roma" w:hAnsi="Liberation Serif;Times New Roma" w:cs="Liberation Serif;Times New Roma"/>
          <w:b w:val="0"/>
          <w:bCs w:val="0"/>
          <w:i/>
          <w:iCs/>
          <w:color w:val="191919"/>
          <w:spacing w:val="11"/>
          <w:sz w:val="28"/>
          <w:szCs w:val="28"/>
          <w:highlight w:val="white"/>
          <w:u w:val="single"/>
          <w:shd w:val="clear" w:color="auto" w:fill="FFFFFF"/>
          <w:lang w:val="uk-UA"/>
        </w:rPr>
        <w:t>Наприклад.</w:t>
      </w:r>
    </w:p>
    <w:p w14:paraId="1454473D" w14:textId="77777777" w:rsidR="00103CDF" w:rsidRPr="00461F96" w:rsidRDefault="00461F96">
      <w:pPr>
        <w:pStyle w:val="Standard"/>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Відповідно до статті 149 ЦПК України, суд за заявою осіб, які беруть участь у справі, може вжити, передбачені цим Кодексом, заходи забезпечення позову. Забезпечення позову допускається на будь-якій стадії розгляду справи, якщо невжиття заходів забезпечення може утруднити чи зробити неможливим виконання рішення суду.</w:t>
      </w:r>
    </w:p>
    <w:p w14:paraId="003D9FA5" w14:textId="77777777" w:rsidR="00103CDF" w:rsidRPr="00461F96" w:rsidRDefault="00461F96">
      <w:pPr>
        <w:pStyle w:val="Standard"/>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Адекватність заходу забезпечення позову, що застосовується судом, визначається його відповідністю вимогам, на забезпечення яких він вживається. Оцінка такої відповідності здійснюється судом, зокрема, з урахуванням співвідношення права (інтересу), про захист яких просить заявник, з вартістю майна, на яке вимагається накладення арешту.</w:t>
      </w:r>
    </w:p>
    <w:p w14:paraId="57221E0F" w14:textId="77777777" w:rsidR="00103CDF" w:rsidRPr="00461F96" w:rsidRDefault="00461F96">
      <w:pPr>
        <w:pStyle w:val="Standard"/>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Під час вирішення питання щодо забезпечення позову, обґрунтованість позову не досліджується, адже питання обґрунтованості заявлених позовних вимог є предметом дослідження судом під час розгляду спору по суті і не вирішується ним під час розгляду заяви про забезпечення позову. Суд повинен лише пересвідчиться, що між сторонами виник спір.</w:t>
      </w:r>
    </w:p>
    <w:p w14:paraId="52E80A3A" w14:textId="77777777" w:rsidR="00103CDF" w:rsidRPr="00461F96" w:rsidRDefault="00461F96">
      <w:pPr>
        <w:pStyle w:val="Standard"/>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xml:space="preserve">При розгляді заяви про застосування такого заходу забезпечення позову як накладення арешту на майно або грошові кошти суд має виходити із того, що цей захід забезпечення обмежує право особи користуватися та розпоряджатися грошовими коштами або майном, тому може застосуватись у справі, в якій заявлено майнову вимогу, а спір вирішується про визнання права власності (інше речове право) на майно, витребування (передачу) майна, грошових коштів або про стягнення </w:t>
      </w:r>
      <w:r w:rsidRPr="00461F96">
        <w:rPr>
          <w:rStyle w:val="a7"/>
          <w:b w:val="0"/>
          <w:bCs w:val="0"/>
          <w:i/>
          <w:iCs/>
          <w:color w:val="191919"/>
          <w:spacing w:val="11"/>
          <w:sz w:val="28"/>
          <w:szCs w:val="28"/>
          <w:highlight w:val="white"/>
          <w:shd w:val="clear" w:color="auto" w:fill="FFFFFF"/>
          <w:lang w:val="uk-UA"/>
        </w:rPr>
        <w:lastRenderedPageBreak/>
        <w:t>грошових коштів (аналогічну правову позицію викладено у постанові Верховного суду від 15.01.2019 у справі № 915/870/18).</w:t>
      </w:r>
    </w:p>
    <w:p w14:paraId="2ADD4710"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xml:space="preserve">Згідно із статтею 150 ЦПК України, позов забезпечується накладенням арешту на майно або грошові кошти, що належать відповідачеві і знаходяться у нього або в інших осіб. </w:t>
      </w:r>
    </w:p>
    <w:p w14:paraId="05FBEB2F" w14:textId="77777777" w:rsidR="00103CDF" w:rsidRPr="00461F96" w:rsidRDefault="00461F96">
      <w:pPr>
        <w:pStyle w:val="af5"/>
        <w:spacing w:after="0" w:line="276" w:lineRule="auto"/>
        <w:ind w:firstLine="567"/>
        <w:contextualSpacing/>
        <w:jc w:val="both"/>
        <w:rPr>
          <w:lang w:val="uk-UA"/>
        </w:rPr>
      </w:pPr>
      <w:r w:rsidRPr="00461F96">
        <w:rPr>
          <w:rStyle w:val="a7"/>
          <w:rFonts w:ascii="Liberation Serif" w:eastAsia="Noto Sans CJK SC Regular" w:hAnsi="Liberation Serif" w:cs="FreeSans"/>
          <w:b w:val="0"/>
          <w:bCs w:val="0"/>
          <w:i/>
          <w:iCs/>
          <w:color w:val="191919"/>
          <w:spacing w:val="11"/>
          <w:kern w:val="2"/>
          <w:sz w:val="28"/>
          <w:szCs w:val="28"/>
          <w:highlight w:val="white"/>
          <w:shd w:val="clear" w:color="auto" w:fill="FFFFFF"/>
          <w:lang w:val="uk-UA" w:eastAsia="zh-CN" w:bidi="hi-IN"/>
        </w:rPr>
        <w:t xml:space="preserve"> Не накладення арешту може утруднити або ж навіть зробити неможливим виконання рішення суду в майбутньому, виходячи з того, що спадкове майно буде відчужено та переоформлено по декілька разів (що відбувається і в даному випадку) на підставі підроблених документів.</w:t>
      </w:r>
    </w:p>
    <w:p w14:paraId="2C7A30A8" w14:textId="77777777" w:rsidR="00103CDF" w:rsidRPr="00461F96" w:rsidRDefault="00461F96">
      <w:pPr>
        <w:overflowPunct w:val="0"/>
        <w:spacing w:after="0" w:line="276" w:lineRule="auto"/>
        <w:ind w:firstLine="737"/>
        <w:jc w:val="both"/>
        <w:rPr>
          <w:lang w:val="uk-UA"/>
        </w:rPr>
      </w:pPr>
      <w:r w:rsidRPr="00461F96">
        <w:rPr>
          <w:rStyle w:val="a7"/>
          <w:rFonts w:ascii="Liberation Serif" w:eastAsia="Noto Sans CJK SC Regular" w:hAnsi="Liberation Serif" w:cs="Liberation Serif;Times New Roma"/>
          <w:b w:val="0"/>
          <w:bCs w:val="0"/>
          <w:color w:val="191919"/>
          <w:spacing w:val="11"/>
          <w:kern w:val="2"/>
          <w:sz w:val="28"/>
          <w:szCs w:val="28"/>
          <w:highlight w:val="white"/>
          <w:shd w:val="clear" w:color="auto" w:fill="FFFFFF"/>
          <w:lang w:val="uk-UA" w:eastAsia="zh-CN" w:bidi="hi-IN"/>
        </w:rPr>
        <w:t xml:space="preserve">З урахуванням вищевикладеного, керуючись ст. 6 Конвенції про захист прав людини та основоположних свобод, ст. 43 ЦПК України,- </w:t>
      </w:r>
    </w:p>
    <w:p w14:paraId="66A97AEA" w14:textId="77777777" w:rsidR="00103CDF" w:rsidRPr="00461F96" w:rsidRDefault="00103CDF">
      <w:pPr>
        <w:spacing w:after="0" w:line="276" w:lineRule="auto"/>
        <w:ind w:firstLine="567"/>
        <w:jc w:val="center"/>
        <w:rPr>
          <w:rStyle w:val="a7"/>
          <w:rFonts w:ascii="Liberation Serif;Times New Roma" w:eastAsia="Times New Roman" w:hAnsi="Liberation Serif;Times New Roma" w:cs="Liberation Serif;Times New Roma"/>
          <w:color w:val="191919"/>
          <w:spacing w:val="11"/>
          <w:sz w:val="28"/>
          <w:szCs w:val="28"/>
          <w:lang w:val="uk-UA"/>
        </w:rPr>
      </w:pPr>
    </w:p>
    <w:p w14:paraId="0EDD53B4" w14:textId="77777777" w:rsidR="00103CDF" w:rsidRPr="00461F96" w:rsidRDefault="00461F96">
      <w:pPr>
        <w:spacing w:after="0" w:line="276" w:lineRule="auto"/>
        <w:ind w:firstLine="567"/>
        <w:jc w:val="center"/>
        <w:rPr>
          <w:lang w:val="uk-UA"/>
        </w:rPr>
      </w:pPr>
      <w:r w:rsidRPr="00461F96">
        <w:rPr>
          <w:rStyle w:val="a7"/>
          <w:rFonts w:ascii="Liberation Serif;Times New Roma" w:eastAsia="Times New Roman" w:hAnsi="Liberation Serif;Times New Roma" w:cs="Liberation Serif;Times New Roma"/>
          <w:color w:val="191919"/>
          <w:spacing w:val="11"/>
          <w:sz w:val="28"/>
          <w:szCs w:val="28"/>
          <w:lang w:val="uk-UA"/>
        </w:rPr>
        <w:t>ПРОШУ:</w:t>
      </w:r>
    </w:p>
    <w:p w14:paraId="5BE0DB0F" w14:textId="77777777" w:rsidR="00103CDF" w:rsidRPr="00461F96" w:rsidRDefault="00461F96">
      <w:pPr>
        <w:spacing w:after="0" w:line="276" w:lineRule="auto"/>
        <w:ind w:firstLine="567"/>
        <w:jc w:val="both"/>
        <w:rPr>
          <w:lang w:val="uk-UA"/>
        </w:rPr>
      </w:pPr>
      <w:r w:rsidRPr="00461F96">
        <w:rPr>
          <w:rStyle w:val="a7"/>
          <w:rFonts w:ascii="Liberation Serif;Times New Roma" w:eastAsia="Times New Roman" w:hAnsi="Liberation Serif;Times New Roma" w:cs="Liberation Serif;Times New Roma"/>
          <w:b w:val="0"/>
          <w:bCs w:val="0"/>
          <w:color w:val="191919"/>
          <w:spacing w:val="11"/>
          <w:sz w:val="28"/>
          <w:szCs w:val="28"/>
          <w:lang w:val="uk-UA"/>
        </w:rPr>
        <w:t>У прохальній частині Ви повинні чітко вказати на що потрібно накласти арешт.</w:t>
      </w:r>
    </w:p>
    <w:p w14:paraId="5C40B0E7" w14:textId="77777777" w:rsidR="00103CDF" w:rsidRPr="00461F96" w:rsidRDefault="00103CDF">
      <w:pPr>
        <w:spacing w:after="0" w:line="276" w:lineRule="auto"/>
        <w:ind w:firstLine="567"/>
        <w:jc w:val="both"/>
        <w:rPr>
          <w:rStyle w:val="a7"/>
          <w:rFonts w:ascii="Liberation Serif;Times New Roma" w:eastAsia="Times New Roman" w:hAnsi="Liberation Serif;Times New Roma" w:cs="Liberation Serif;Times New Roma"/>
          <w:b w:val="0"/>
          <w:bCs w:val="0"/>
          <w:color w:val="191919"/>
          <w:spacing w:val="11"/>
          <w:sz w:val="28"/>
          <w:szCs w:val="28"/>
          <w:lang w:val="uk-UA"/>
        </w:rPr>
      </w:pPr>
    </w:p>
    <w:p w14:paraId="38CF81AF" w14:textId="77777777" w:rsidR="00103CDF" w:rsidRPr="00461F96" w:rsidRDefault="00461F96">
      <w:pPr>
        <w:spacing w:after="0" w:line="276" w:lineRule="auto"/>
        <w:ind w:firstLine="567"/>
        <w:jc w:val="both"/>
        <w:rPr>
          <w:lang w:val="uk-UA"/>
        </w:rPr>
      </w:pPr>
      <w:r w:rsidRPr="00461F96">
        <w:rPr>
          <w:rStyle w:val="a7"/>
          <w:rFonts w:ascii="Liberation Serif;Times New Roma" w:eastAsia="Times New Roman" w:hAnsi="Liberation Serif;Times New Roma" w:cs="Liberation Serif;Times New Roma"/>
          <w:b w:val="0"/>
          <w:bCs w:val="0"/>
          <w:i/>
          <w:iCs/>
          <w:color w:val="191919"/>
          <w:spacing w:val="11"/>
          <w:sz w:val="28"/>
          <w:szCs w:val="28"/>
          <w:u w:val="single"/>
          <w:lang w:val="uk-UA"/>
        </w:rPr>
        <w:t xml:space="preserve">Наприклад. </w:t>
      </w:r>
    </w:p>
    <w:p w14:paraId="0BAEE268" w14:textId="77777777" w:rsidR="00103CDF" w:rsidRPr="00461F96" w:rsidRDefault="00461F96">
      <w:pPr>
        <w:spacing w:after="0" w:line="276" w:lineRule="auto"/>
        <w:ind w:firstLine="567"/>
        <w:jc w:val="both"/>
        <w:rPr>
          <w:lang w:val="uk-UA"/>
        </w:rPr>
      </w:pPr>
      <w:r w:rsidRPr="00461F96">
        <w:rPr>
          <w:rStyle w:val="a7"/>
          <w:rFonts w:ascii="Liberation Serif;Times New Roma" w:eastAsia="Times New Roman" w:hAnsi="Liberation Serif;Times New Roma" w:cs="Liberation Serif;Times New Roma"/>
          <w:b w:val="0"/>
          <w:bCs w:val="0"/>
          <w:i/>
          <w:iCs/>
          <w:color w:val="191919"/>
          <w:spacing w:val="11"/>
          <w:sz w:val="28"/>
          <w:szCs w:val="28"/>
          <w:lang w:val="uk-UA"/>
        </w:rPr>
        <w:t xml:space="preserve">1. Накласти арешт на: </w:t>
      </w:r>
    </w:p>
    <w:p w14:paraId="4F305C5D"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житлового будинку, який знаходиться за адресою м. Київ, вул. Старокиївська, буд. 42;</w:t>
      </w:r>
    </w:p>
    <w:p w14:paraId="0D54388D"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квартири за адресою Київська область, м. Вишневе, вул. Святошинська, буд. № 28, кв. 1111;</w:t>
      </w:r>
    </w:p>
    <w:p w14:paraId="730A27C0" w14:textId="77777777" w:rsidR="00103CDF" w:rsidRPr="00461F96" w:rsidRDefault="00461F96">
      <w:pPr>
        <w:pStyle w:val="Standard"/>
        <w:overflowPunct w:val="0"/>
        <w:spacing w:line="276" w:lineRule="auto"/>
        <w:ind w:firstLine="737"/>
        <w:jc w:val="both"/>
        <w:rPr>
          <w:lang w:val="uk-UA"/>
        </w:rPr>
      </w:pPr>
      <w:r w:rsidRPr="00461F96">
        <w:rPr>
          <w:rStyle w:val="a7"/>
          <w:b w:val="0"/>
          <w:bCs w:val="0"/>
          <w:i/>
          <w:iCs/>
          <w:color w:val="191919"/>
          <w:spacing w:val="11"/>
          <w:sz w:val="28"/>
          <w:szCs w:val="28"/>
          <w:highlight w:val="white"/>
          <w:shd w:val="clear" w:color="auto" w:fill="FFFFFF"/>
          <w:lang w:val="uk-UA"/>
        </w:rPr>
        <w:t>-  1/4 частина нежитлового приміщення № 22555 за адресою Київська область, м. Вишневе, вул. Святошинська, буд. № 111254.</w:t>
      </w:r>
    </w:p>
    <w:p w14:paraId="67A3E93C" w14:textId="77777777" w:rsidR="00103CDF" w:rsidRPr="00461F96" w:rsidRDefault="00103CDF">
      <w:pPr>
        <w:spacing w:after="0" w:line="276" w:lineRule="auto"/>
        <w:ind w:firstLine="567"/>
        <w:jc w:val="both"/>
        <w:rPr>
          <w:rStyle w:val="a7"/>
          <w:rFonts w:ascii="Liberation Serif;Times New Roma" w:eastAsia="Times New Roman" w:hAnsi="Liberation Serif;Times New Roma" w:cs="Liberation Serif;Times New Roma"/>
          <w:b w:val="0"/>
          <w:bCs w:val="0"/>
          <w:color w:val="191919"/>
          <w:spacing w:val="11"/>
          <w:sz w:val="28"/>
          <w:szCs w:val="28"/>
          <w:highlight w:val="white"/>
          <w:lang w:val="uk-UA"/>
        </w:rPr>
      </w:pPr>
    </w:p>
    <w:p w14:paraId="16377FA3" w14:textId="77777777" w:rsidR="00103CDF" w:rsidRPr="00461F96" w:rsidRDefault="00461F96">
      <w:pPr>
        <w:spacing w:after="0" w:line="276" w:lineRule="auto"/>
        <w:ind w:firstLine="567"/>
        <w:jc w:val="both"/>
        <w:rPr>
          <w:lang w:val="uk-UA"/>
        </w:rPr>
      </w:pPr>
      <w:r w:rsidRPr="00461F96">
        <w:rPr>
          <w:rStyle w:val="a7"/>
          <w:rFonts w:ascii="Liberation Serif" w:eastAsia="Noto Sans CJK SC Regular" w:hAnsi="Liberation Serif" w:cs="Liberation Serif;Times New Roma"/>
          <w:color w:val="191919"/>
          <w:spacing w:val="11"/>
          <w:kern w:val="2"/>
          <w:sz w:val="28"/>
          <w:szCs w:val="28"/>
          <w:highlight w:val="white"/>
          <w:lang w:val="uk-UA" w:eastAsia="zh-CN" w:bidi="hi-IN"/>
        </w:rPr>
        <w:t>Додатки:</w:t>
      </w:r>
    </w:p>
    <w:p w14:paraId="6A2845B6" w14:textId="77777777" w:rsidR="00103CDF" w:rsidRPr="00461F96" w:rsidRDefault="00461F96">
      <w:pPr>
        <w:spacing w:after="0" w:line="276" w:lineRule="auto"/>
        <w:ind w:firstLine="567"/>
        <w:jc w:val="both"/>
        <w:rPr>
          <w:lang w:val="uk-UA"/>
        </w:rPr>
      </w:pPr>
      <w:r w:rsidRPr="00461F96">
        <w:rPr>
          <w:rStyle w:val="a7"/>
          <w:rFonts w:ascii="Liberation Serif" w:eastAsia="Noto Sans CJK SC Regular" w:hAnsi="Liberation Serif" w:cs="Liberation Serif;Times New Roma"/>
          <w:b w:val="0"/>
          <w:bCs w:val="0"/>
          <w:color w:val="191919"/>
          <w:spacing w:val="11"/>
          <w:kern w:val="2"/>
          <w:sz w:val="28"/>
          <w:szCs w:val="28"/>
          <w:highlight w:val="white"/>
          <w:shd w:val="clear" w:color="auto" w:fill="FFFFFF"/>
          <w:lang w:val="uk-UA" w:eastAsia="zh-CN" w:bidi="hi-IN"/>
        </w:rPr>
        <w:t xml:space="preserve">1) </w:t>
      </w:r>
      <w:r w:rsidRPr="00461F96">
        <w:rPr>
          <w:rStyle w:val="a7"/>
          <w:rFonts w:ascii="Liberation Serif" w:eastAsia="Noto Sans CJK SC Regular" w:hAnsi="Liberation Serif" w:cs="FreeSans"/>
          <w:b w:val="0"/>
          <w:bCs w:val="0"/>
          <w:color w:val="191919"/>
          <w:spacing w:val="11"/>
          <w:kern w:val="2"/>
          <w:sz w:val="28"/>
          <w:szCs w:val="28"/>
          <w:highlight w:val="white"/>
          <w:shd w:val="clear" w:color="auto" w:fill="FFFFFF"/>
          <w:lang w:val="uk-UA" w:eastAsia="zh-CN" w:bidi="hi-IN"/>
        </w:rPr>
        <w:t>Документи, які надаються на підтвердження обставин вказаних у клопотанні.</w:t>
      </w:r>
    </w:p>
    <w:p w14:paraId="26074B7C" w14:textId="77777777" w:rsidR="00103CDF" w:rsidRPr="00461F96" w:rsidRDefault="00103CDF">
      <w:pPr>
        <w:spacing w:after="0" w:line="276" w:lineRule="auto"/>
        <w:jc w:val="both"/>
        <w:rPr>
          <w:rStyle w:val="a7"/>
          <w:rFonts w:ascii="Liberation Serif" w:eastAsia="Noto Sans CJK SC Regular" w:hAnsi="Liberation Serif" w:cs="Liberation Serif;Times New Roma"/>
          <w:b w:val="0"/>
          <w:bCs w:val="0"/>
          <w:color w:val="191919"/>
          <w:spacing w:val="11"/>
          <w:kern w:val="2"/>
          <w:sz w:val="28"/>
          <w:szCs w:val="28"/>
          <w:highlight w:val="white"/>
          <w:lang w:val="uk-UA" w:eastAsia="zh-CN" w:bidi="hi-IN"/>
        </w:rPr>
      </w:pPr>
    </w:p>
    <w:p w14:paraId="00E78AE6" w14:textId="77777777" w:rsidR="00103CDF" w:rsidRPr="00461F96" w:rsidRDefault="00461F96">
      <w:pPr>
        <w:spacing w:after="0" w:line="276" w:lineRule="auto"/>
        <w:ind w:firstLine="567"/>
        <w:jc w:val="both"/>
        <w:rPr>
          <w:lang w:val="uk-UA"/>
        </w:rPr>
      </w:pPr>
      <w:r w:rsidRPr="00461F96">
        <w:rPr>
          <w:rStyle w:val="a7"/>
          <w:rFonts w:ascii="Liberation Serif;Times New Roma" w:eastAsia="Times New Roman" w:hAnsi="Liberation Serif;Times New Roma" w:cs="Liberation Serif;Times New Roma"/>
          <w:color w:val="191919"/>
          <w:sz w:val="28"/>
          <w:szCs w:val="28"/>
          <w:highlight w:val="white"/>
          <w:lang w:val="uk-UA"/>
        </w:rPr>
        <w:t>Дата</w:t>
      </w:r>
      <w:r w:rsidRPr="00461F96">
        <w:rPr>
          <w:rStyle w:val="a7"/>
          <w:rFonts w:ascii="Liberation Serif;Times New Roma" w:eastAsia="Times New Roman" w:hAnsi="Liberation Serif;Times New Roma" w:cs="Liberation Serif;Times New Roma"/>
          <w:color w:val="191919"/>
          <w:sz w:val="28"/>
          <w:szCs w:val="28"/>
          <w:highlight w:val="white"/>
          <w:lang w:val="uk-UA"/>
        </w:rPr>
        <w:tab/>
      </w:r>
      <w:r w:rsidRPr="00461F96">
        <w:rPr>
          <w:rStyle w:val="a7"/>
          <w:rFonts w:ascii="Liberation Serif;Times New Roma" w:eastAsia="Times New Roman" w:hAnsi="Liberation Serif;Times New Roma" w:cs="Liberation Serif;Times New Roma"/>
          <w:color w:val="191919"/>
          <w:sz w:val="28"/>
          <w:szCs w:val="28"/>
          <w:highlight w:val="white"/>
          <w:lang w:val="uk-UA"/>
        </w:rPr>
        <w:tab/>
      </w:r>
      <w:r w:rsidRPr="00461F96">
        <w:rPr>
          <w:rStyle w:val="a7"/>
          <w:rFonts w:ascii="Liberation Serif;Times New Roma" w:eastAsia="Times New Roman" w:hAnsi="Liberation Serif;Times New Roma" w:cs="Liberation Serif;Times New Roma"/>
          <w:color w:val="191919"/>
          <w:sz w:val="28"/>
          <w:szCs w:val="28"/>
          <w:highlight w:val="white"/>
          <w:lang w:val="uk-UA"/>
        </w:rPr>
        <w:tab/>
      </w:r>
      <w:r w:rsidRPr="00461F96">
        <w:rPr>
          <w:rStyle w:val="a7"/>
          <w:rFonts w:ascii="Liberation Serif;Times New Roma" w:eastAsia="Times New Roman" w:hAnsi="Liberation Serif;Times New Roma" w:cs="Liberation Serif;Times New Roma"/>
          <w:color w:val="191919"/>
          <w:sz w:val="28"/>
          <w:szCs w:val="28"/>
          <w:highlight w:val="white"/>
          <w:lang w:val="uk-UA"/>
        </w:rPr>
        <w:tab/>
        <w:t xml:space="preserve">підпис </w:t>
      </w:r>
      <w:r w:rsidRPr="00461F96">
        <w:rPr>
          <w:rStyle w:val="a7"/>
          <w:rFonts w:ascii="Liberation Serif;Times New Roma" w:eastAsia="Times New Roman" w:hAnsi="Liberation Serif;Times New Roma" w:cs="Liberation Serif;Times New Roma"/>
          <w:color w:val="191919"/>
          <w:sz w:val="28"/>
          <w:szCs w:val="28"/>
          <w:highlight w:val="white"/>
          <w:lang w:val="uk-UA"/>
        </w:rPr>
        <w:tab/>
      </w:r>
      <w:r w:rsidRPr="00461F96">
        <w:rPr>
          <w:rStyle w:val="a7"/>
          <w:rFonts w:ascii="Liberation Serif;Times New Roma" w:eastAsia="Times New Roman" w:hAnsi="Liberation Serif;Times New Roma" w:cs="Liberation Serif;Times New Roma"/>
          <w:color w:val="191919"/>
          <w:sz w:val="28"/>
          <w:szCs w:val="28"/>
          <w:highlight w:val="white"/>
          <w:lang w:val="uk-UA"/>
        </w:rPr>
        <w:tab/>
        <w:t xml:space="preserve">        Прізвище та ініціали</w:t>
      </w:r>
    </w:p>
    <w:sectPr w:rsidR="00103CDF" w:rsidRPr="00461F96">
      <w:footerReference w:type="default" r:id="rId7"/>
      <w:pgSz w:w="11906" w:h="16838"/>
      <w:pgMar w:top="794" w:right="572" w:bottom="1169" w:left="1584" w:header="0" w:footer="61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FAD19" w14:textId="77777777" w:rsidR="00DA7F87" w:rsidRDefault="00DA7F87">
      <w:pPr>
        <w:spacing w:after="0" w:line="240" w:lineRule="auto"/>
      </w:pPr>
      <w:r>
        <w:separator/>
      </w:r>
    </w:p>
  </w:endnote>
  <w:endnote w:type="continuationSeparator" w:id="0">
    <w:p w14:paraId="320BB4A6" w14:textId="77777777" w:rsidR="00DA7F87" w:rsidRDefault="00DA7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C14D" w14:textId="77777777" w:rsidR="00103CDF" w:rsidRDefault="00461F96">
    <w:pPr>
      <w:pStyle w:val="afa"/>
      <w:jc w:val="right"/>
    </w:pPr>
    <w:r>
      <w:rPr>
        <w:rStyle w:val="a7"/>
        <w:rFonts w:ascii="Liberation Serif" w:eastAsia="Noto Sans CJK SC Regular" w:hAnsi="Liberation Serif" w:cs="FreeSans"/>
        <w:b w:val="0"/>
        <w:bCs w:val="0"/>
        <w:color w:val="191919"/>
        <w:spacing w:val="11"/>
        <w:kern w:val="2"/>
        <w:sz w:val="28"/>
        <w:szCs w:val="28"/>
        <w:highlight w:val="white"/>
        <w:shd w:val="clear" w:color="auto" w:fill="FFFFFF"/>
        <w:lang w:val="uk-UA" w:eastAsia="zh-CN" w:bidi="hi-IN"/>
      </w:rPr>
      <w:fldChar w:fldCharType="begin"/>
    </w:r>
    <w:r>
      <w:rPr>
        <w:rStyle w:val="a7"/>
        <w:rFonts w:ascii="Liberation Serif" w:eastAsia="Noto Sans CJK SC Regular" w:hAnsi="Liberation Serif" w:cs="FreeSans"/>
        <w:b w:val="0"/>
        <w:bCs w:val="0"/>
        <w:color w:val="191919"/>
        <w:spacing w:val="11"/>
        <w:kern w:val="2"/>
        <w:sz w:val="28"/>
        <w:szCs w:val="28"/>
        <w:highlight w:val="white"/>
        <w:shd w:val="clear" w:color="auto" w:fill="FFFFFF"/>
        <w:lang w:val="uk-UA" w:eastAsia="zh-CN" w:bidi="hi-IN"/>
      </w:rPr>
      <w:instrText xml:space="preserve"> PAGE </w:instrText>
    </w:r>
    <w:r>
      <w:rPr>
        <w:rStyle w:val="a7"/>
        <w:rFonts w:ascii="Liberation Serif" w:eastAsia="Noto Sans CJK SC Regular" w:hAnsi="Liberation Serif" w:cs="FreeSans"/>
        <w:b w:val="0"/>
        <w:bCs w:val="0"/>
        <w:color w:val="191919"/>
        <w:spacing w:val="11"/>
        <w:kern w:val="2"/>
        <w:sz w:val="28"/>
        <w:szCs w:val="28"/>
        <w:highlight w:val="white"/>
        <w:shd w:val="clear" w:color="auto" w:fill="FFFFFF"/>
        <w:lang w:val="uk-UA" w:eastAsia="zh-CN" w:bidi="hi-IN"/>
      </w:rPr>
      <w:fldChar w:fldCharType="separate"/>
    </w:r>
    <w:r>
      <w:rPr>
        <w:rStyle w:val="a7"/>
        <w:rFonts w:ascii="Liberation Serif" w:eastAsia="Noto Sans CJK SC Regular" w:hAnsi="Liberation Serif" w:cs="FreeSans"/>
        <w:b w:val="0"/>
        <w:bCs w:val="0"/>
        <w:noProof/>
        <w:color w:val="191919"/>
        <w:spacing w:val="11"/>
        <w:kern w:val="2"/>
        <w:sz w:val="28"/>
        <w:szCs w:val="28"/>
        <w:highlight w:val="white"/>
        <w:shd w:val="clear" w:color="auto" w:fill="FFFFFF"/>
        <w:lang w:val="uk-UA" w:eastAsia="zh-CN" w:bidi="hi-IN"/>
      </w:rPr>
      <w:t>4</w:t>
    </w:r>
    <w:r>
      <w:rPr>
        <w:rStyle w:val="a7"/>
        <w:rFonts w:ascii="Liberation Serif" w:eastAsia="Noto Sans CJK SC Regular" w:hAnsi="Liberation Serif" w:cs="FreeSans"/>
        <w:b w:val="0"/>
        <w:bCs w:val="0"/>
        <w:color w:val="191919"/>
        <w:spacing w:val="11"/>
        <w:kern w:val="2"/>
        <w:sz w:val="28"/>
        <w:szCs w:val="28"/>
        <w:highlight w:val="white"/>
        <w:shd w:val="clear" w:color="auto" w:fill="FFFFFF"/>
        <w:lang w:val="uk-UA" w:eastAsia="zh-CN"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96DE0" w14:textId="77777777" w:rsidR="00DA7F87" w:rsidRDefault="00DA7F87">
      <w:pPr>
        <w:spacing w:after="0" w:line="240" w:lineRule="auto"/>
      </w:pPr>
      <w:r>
        <w:separator/>
      </w:r>
    </w:p>
  </w:footnote>
  <w:footnote w:type="continuationSeparator" w:id="0">
    <w:p w14:paraId="4B9C953E" w14:textId="77777777" w:rsidR="00DA7F87" w:rsidRDefault="00DA7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D0E"/>
    <w:multiLevelType w:val="multilevel"/>
    <w:tmpl w:val="DBF00E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8F7690"/>
    <w:multiLevelType w:val="multilevel"/>
    <w:tmpl w:val="A3D237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CDF"/>
    <w:rsid w:val="00103CDF"/>
    <w:rsid w:val="00335ACB"/>
    <w:rsid w:val="00461F96"/>
    <w:rsid w:val="00BB2164"/>
    <w:rsid w:val="00DA7F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97380"/>
  <w15:docId w15:val="{6EA44D72-D82A-462E-8A79-5837F9D7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color w:val="00000A"/>
      <w:sz w:val="22"/>
    </w:rPr>
  </w:style>
  <w:style w:type="paragraph" w:styleId="2">
    <w:name w:val="heading 2"/>
    <w:basedOn w:val="a0"/>
    <w:qFormat/>
    <w:pPr>
      <w:outlineLvl w:val="1"/>
    </w:pPr>
  </w:style>
  <w:style w:type="paragraph" w:styleId="6">
    <w:name w:val="heading 6"/>
    <w:basedOn w:val="a0"/>
    <w:next w:val="a1"/>
    <w:qFormat/>
    <w:pPr>
      <w:numPr>
        <w:ilvl w:val="5"/>
        <w:numId w:val="1"/>
      </w:numPr>
      <w:spacing w:before="60" w:after="60"/>
      <w:outlineLvl w:val="5"/>
    </w:pPr>
    <w:rPr>
      <w:rFonts w:ascii="Liberation Serif;Times New Roma" w:eastAsia="Noto Serif CJK SC" w:hAnsi="Liberation Serif;Times New Roma" w:cs="Lohit Devanagari"/>
      <w:b/>
      <w:bCs/>
      <w:sz w:val="14"/>
      <w:szCs w:val="1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basedOn w:val="a2"/>
    <w:uiPriority w:val="99"/>
    <w:semiHidden/>
    <w:qFormat/>
    <w:rsid w:val="00CF2A12"/>
    <w:rPr>
      <w:rFonts w:ascii="Segoe UI" w:hAnsi="Segoe UI" w:cs="Segoe UI"/>
      <w:sz w:val="18"/>
      <w:szCs w:val="18"/>
    </w:rPr>
  </w:style>
  <w:style w:type="character" w:styleId="a6">
    <w:name w:val="Hyperlink"/>
    <w:qFormat/>
    <w:rPr>
      <w:color w:val="000080"/>
      <w:u w:val="single"/>
    </w:rPr>
  </w:style>
  <w:style w:type="character" w:styleId="a7">
    <w:name w:val="Strong"/>
    <w:basedOn w:val="a2"/>
    <w:qFormat/>
    <w:rPr>
      <w:b/>
      <w:bCs/>
    </w:rPr>
  </w:style>
  <w:style w:type="character" w:customStyle="1" w:styleId="a8">
    <w:name w:val="Символ нумерації"/>
    <w:qFormat/>
    <w:rPr>
      <w:rFonts w:ascii="Liberation Serif" w:hAnsi="Liberation Serif"/>
      <w:sz w:val="28"/>
      <w:szCs w:val="28"/>
    </w:rPr>
  </w:style>
  <w:style w:type="character" w:customStyle="1" w:styleId="a9">
    <w:name w:val="Выделение жирным"/>
    <w:qFormat/>
    <w:rPr>
      <w:b/>
      <w:bCs/>
    </w:rPr>
  </w:style>
  <w:style w:type="character" w:customStyle="1" w:styleId="-">
    <w:name w:val="Интернет-ссылка"/>
    <w:qFormat/>
    <w:rPr>
      <w:color w:val="000080"/>
      <w:u w:val="single"/>
    </w:rPr>
  </w:style>
  <w:style w:type="character" w:styleId="aa">
    <w:name w:val="Emphasis"/>
    <w:qFormat/>
    <w:rPr>
      <w:i/>
      <w:iCs/>
    </w:rPr>
  </w:style>
  <w:style w:type="paragraph" w:customStyle="1" w:styleId="a0">
    <w:name w:val="Заголовок"/>
    <w:basedOn w:val="a"/>
    <w:next w:val="a1"/>
    <w:qFormat/>
    <w:pPr>
      <w:keepNext/>
      <w:spacing w:before="240" w:after="120"/>
    </w:pPr>
    <w:rPr>
      <w:rFonts w:ascii="Liberation Sans" w:eastAsia="Noto Sans CJK SC Regular" w:hAnsi="Liberation Sans" w:cs="FreeSans"/>
      <w:sz w:val="28"/>
      <w:szCs w:val="28"/>
    </w:rPr>
  </w:style>
  <w:style w:type="paragraph" w:styleId="a1">
    <w:name w:val="Body Text"/>
    <w:basedOn w:val="a"/>
    <w:pPr>
      <w:spacing w:after="140" w:line="288" w:lineRule="auto"/>
    </w:pPr>
  </w:style>
  <w:style w:type="paragraph" w:styleId="ab">
    <w:name w:val="List"/>
    <w:basedOn w:val="a1"/>
    <w:rPr>
      <w:rFonts w:cs="FreeSans"/>
    </w:rPr>
  </w:style>
  <w:style w:type="paragraph" w:styleId="ac">
    <w:name w:val="caption"/>
    <w:basedOn w:val="a"/>
    <w:qFormat/>
    <w:pPr>
      <w:suppressLineNumbers/>
      <w:spacing w:before="120" w:after="120"/>
    </w:pPr>
    <w:rPr>
      <w:rFonts w:cs="FreeSans"/>
      <w:i/>
      <w:iCs/>
      <w:sz w:val="24"/>
      <w:szCs w:val="24"/>
    </w:rPr>
  </w:style>
  <w:style w:type="paragraph" w:customStyle="1" w:styleId="ad">
    <w:name w:val="Покажчик"/>
    <w:basedOn w:val="a"/>
    <w:qFormat/>
    <w:pPr>
      <w:suppressLineNumbers/>
    </w:pPr>
    <w:rPr>
      <w:rFonts w:cs="FreeSans"/>
    </w:rPr>
  </w:style>
  <w:style w:type="paragraph" w:styleId="ae">
    <w:name w:val="index heading"/>
    <w:basedOn w:val="a"/>
    <w:qFormat/>
    <w:pPr>
      <w:suppressLineNumbers/>
    </w:pPr>
    <w:rPr>
      <w:rFonts w:cs="Lohit Devanagari"/>
    </w:rPr>
  </w:style>
  <w:style w:type="paragraph" w:styleId="af">
    <w:name w:val="List Paragraph"/>
    <w:basedOn w:val="a"/>
    <w:uiPriority w:val="34"/>
    <w:qFormat/>
    <w:rsid w:val="00CF2A12"/>
    <w:pPr>
      <w:ind w:left="720"/>
      <w:contextualSpacing/>
    </w:pPr>
  </w:style>
  <w:style w:type="paragraph" w:styleId="af0">
    <w:name w:val="Balloon Text"/>
    <w:basedOn w:val="a"/>
    <w:uiPriority w:val="99"/>
    <w:semiHidden/>
    <w:unhideWhenUsed/>
    <w:qFormat/>
    <w:rsid w:val="00CF2A12"/>
    <w:pPr>
      <w:spacing w:after="0" w:line="240" w:lineRule="auto"/>
    </w:pPr>
    <w:rPr>
      <w:rFonts w:ascii="Segoe UI" w:hAnsi="Segoe UI" w:cs="Segoe UI"/>
      <w:sz w:val="18"/>
      <w:szCs w:val="18"/>
    </w:rPr>
  </w:style>
  <w:style w:type="paragraph" w:customStyle="1" w:styleId="af1">
    <w:name w:val="Текст у вказаному форматі"/>
    <w:basedOn w:val="a"/>
    <w:qFormat/>
  </w:style>
  <w:style w:type="paragraph" w:customStyle="1" w:styleId="af2">
    <w:name w:val="Вміст таблиці"/>
    <w:basedOn w:val="a"/>
    <w:qFormat/>
  </w:style>
  <w:style w:type="paragraph" w:customStyle="1" w:styleId="af3">
    <w:name w:val="Горизонтальна лінія"/>
    <w:basedOn w:val="a"/>
    <w:qFormat/>
  </w:style>
  <w:style w:type="paragraph" w:customStyle="1" w:styleId="af4">
    <w:name w:val="Заголовок таблиці"/>
    <w:basedOn w:val="af2"/>
    <w:qFormat/>
  </w:style>
  <w:style w:type="paragraph" w:styleId="af5">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6">
    <w:name w:val="Содержимое таблицы"/>
    <w:basedOn w:val="a"/>
    <w:qFormat/>
    <w:pPr>
      <w:suppressLineNumbers/>
    </w:pPr>
  </w:style>
  <w:style w:type="paragraph" w:styleId="af7">
    <w:name w:val="No Spacing"/>
    <w:qFormat/>
    <w:rPr>
      <w:rFonts w:ascii="Calibri" w:eastAsia="Calibri" w:hAnsi="Calibri"/>
      <w:color w:val="00000A"/>
      <w:sz w:val="22"/>
      <w:lang w:val="uk-UA"/>
    </w:rPr>
  </w:style>
  <w:style w:type="paragraph" w:customStyle="1" w:styleId="af8">
    <w:name w:val="Колонтитул"/>
    <w:basedOn w:val="a"/>
    <w:qFormat/>
    <w:pPr>
      <w:suppressLineNumbers/>
      <w:tabs>
        <w:tab w:val="center" w:pos="4875"/>
        <w:tab w:val="right" w:pos="9750"/>
      </w:tabs>
    </w:pPr>
  </w:style>
  <w:style w:type="paragraph" w:customStyle="1" w:styleId="af9">
    <w:name w:val="Верхній і нижній колонтитули"/>
    <w:basedOn w:val="a"/>
    <w:qFormat/>
  </w:style>
  <w:style w:type="paragraph" w:styleId="afa">
    <w:name w:val="footer"/>
    <w:basedOn w:val="af8"/>
  </w:style>
  <w:style w:type="paragraph" w:customStyle="1" w:styleId="Standard">
    <w:name w:val="Standard"/>
    <w:qFormat/>
    <w:rPr>
      <w:rFonts w:ascii="Liberation Serif" w:eastAsia="Noto Sans CJK SC Regular" w:hAnsi="Liberation Serif" w:cs="FreeSans"/>
      <w:kern w:val="2"/>
      <w:sz w:val="24"/>
      <w:szCs w:val="24"/>
      <w:lang w:eastAsia="zh-CN" w:bidi="hi-IN"/>
    </w:rPr>
  </w:style>
  <w:style w:type="table" w:styleId="afb">
    <w:name w:val="Table Grid"/>
    <w:basedOn w:val="a3"/>
    <w:uiPriority w:val="39"/>
    <w:rsid w:val="00832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4847</Words>
  <Characters>2764</Characters>
  <Application>Microsoft Office Word</Application>
  <DocSecurity>0</DocSecurity>
  <Lines>23</Lines>
  <Paragraphs>15</Paragraphs>
  <ScaleCrop>false</ScaleCrop>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2</cp:revision>
  <cp:lastPrinted>2021-12-29T08:36:00Z</cp:lastPrinted>
  <dcterms:created xsi:type="dcterms:W3CDTF">2023-10-05T07:25:00Z</dcterms:created>
  <dcterms:modified xsi:type="dcterms:W3CDTF">2023-10-05T07:25:00Z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